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4D8C" w14:textId="1758BD83" w:rsidR="003733B4" w:rsidRPr="000605BD" w:rsidRDefault="003733B4" w:rsidP="003733B4">
      <w:pPr>
        <w:spacing w:after="160" w:line="259" w:lineRule="auto"/>
        <w:ind w:left="0" w:firstLine="0"/>
        <w:rPr>
          <w:rFonts w:ascii="Times New Roman" w:eastAsiaTheme="minorHAnsi" w:hAnsi="Times New Roman" w:cs="Times New Roman"/>
          <w:color w:val="auto"/>
          <w:sz w:val="22"/>
          <w:lang w:eastAsia="en-US"/>
        </w:rPr>
      </w:pPr>
      <w:r w:rsidRPr="000605BD">
        <w:rPr>
          <w:rFonts w:ascii="Times New Roman" w:eastAsiaTheme="minorHAnsi" w:hAnsi="Times New Roman" w:cs="Times New Roman"/>
          <w:b/>
          <w:color w:val="auto"/>
          <w:sz w:val="22"/>
          <w:lang w:eastAsia="en-US"/>
        </w:rPr>
        <w:t xml:space="preserve">                  </w:t>
      </w:r>
      <w:r w:rsidR="00E930DE" w:rsidRPr="00905CCD">
        <w:rPr>
          <w:rFonts w:ascii="Times New Roman" w:hAnsi="Times New Roman" w:cs="Times New Roman"/>
          <w:b/>
          <w:noProof/>
        </w:rPr>
        <w:drawing>
          <wp:inline distT="0" distB="0" distL="0" distR="0" wp14:anchorId="426B087B" wp14:editId="52DF6CA5">
            <wp:extent cx="457200" cy="537986"/>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ija\Desktop\RAZNO\GR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670" cy="559720"/>
                    </a:xfrm>
                    <a:prstGeom prst="rect">
                      <a:avLst/>
                    </a:prstGeom>
                    <a:noFill/>
                    <a:ln>
                      <a:noFill/>
                    </a:ln>
                  </pic:spPr>
                </pic:pic>
              </a:graphicData>
            </a:graphic>
          </wp:inline>
        </w:drawing>
      </w:r>
      <w:r w:rsidRPr="000605BD">
        <w:rPr>
          <w:rFonts w:ascii="Times New Roman" w:eastAsiaTheme="minorHAnsi" w:hAnsi="Times New Roman" w:cs="Times New Roman"/>
          <w:b/>
          <w:color w:val="auto"/>
          <w:sz w:val="22"/>
          <w:lang w:eastAsia="en-US"/>
        </w:rPr>
        <w:t xml:space="preserve">                                                               </w:t>
      </w:r>
      <w:r>
        <w:rPr>
          <w:rFonts w:ascii="Times New Roman" w:eastAsiaTheme="minorHAnsi" w:hAnsi="Times New Roman" w:cs="Times New Roman"/>
          <w:b/>
          <w:color w:val="auto"/>
          <w:sz w:val="22"/>
          <w:lang w:eastAsia="en-US"/>
        </w:rPr>
        <w:t xml:space="preserve">                               </w:t>
      </w:r>
      <w:r w:rsidRPr="000605BD">
        <w:rPr>
          <w:rFonts w:ascii="Times New Roman" w:eastAsiaTheme="minorHAnsi" w:hAnsi="Times New Roman" w:cs="Times New Roman"/>
          <w:color w:val="auto"/>
          <w:sz w:val="22"/>
          <w:lang w:eastAsia="en-US"/>
        </w:rPr>
        <w:t xml:space="preserve">                                                                                                                                     </w:t>
      </w:r>
      <w:r>
        <w:rPr>
          <w:rFonts w:ascii="Times New Roman" w:eastAsiaTheme="minorHAnsi" w:hAnsi="Times New Roman" w:cs="Times New Roman"/>
          <w:color w:val="auto"/>
          <w:sz w:val="22"/>
          <w:lang w:eastAsia="en-US"/>
        </w:rPr>
        <w:t xml:space="preserve">                  </w:t>
      </w:r>
      <w:r w:rsidRPr="000605BD">
        <w:rPr>
          <w:rFonts w:ascii="Times New Roman" w:eastAsiaTheme="minorHAnsi" w:hAnsi="Times New Roman" w:cs="Times New Roman"/>
          <w:color w:val="auto"/>
          <w:sz w:val="22"/>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3733B4" w:rsidRPr="00A64D9A" w14:paraId="0C66F907" w14:textId="77777777" w:rsidTr="00E83DFC">
        <w:tc>
          <w:tcPr>
            <w:tcW w:w="6379" w:type="dxa"/>
          </w:tcPr>
          <w:p w14:paraId="2BA5DC0C" w14:textId="62387C15" w:rsidR="00E930DE" w:rsidRPr="00EF0AAC" w:rsidRDefault="00E930DE" w:rsidP="00E930DE">
            <w:pPr>
              <w:spacing w:after="0" w:line="259" w:lineRule="auto"/>
              <w:ind w:left="0" w:firstLine="0"/>
              <w:rPr>
                <w:rFonts w:ascii="Times New Roman" w:eastAsiaTheme="minorHAnsi" w:hAnsi="Times New Roman" w:cs="Times New Roman"/>
                <w:color w:val="auto"/>
                <w:sz w:val="22"/>
                <w:lang w:eastAsia="en-US"/>
              </w:rPr>
            </w:pPr>
            <w:bookmarkStart w:id="0" w:name="_Hlk128748807"/>
            <w:r w:rsidRPr="00EF0AAC">
              <w:rPr>
                <w:rFonts w:ascii="Times New Roman" w:eastAsiaTheme="minorHAnsi" w:hAnsi="Times New Roman" w:cs="Times New Roman"/>
                <w:b/>
                <w:color w:val="auto"/>
                <w:sz w:val="22"/>
                <w:lang w:eastAsia="en-US"/>
              </w:rPr>
              <w:t>REPUBLIKA HRVATSKA</w:t>
            </w:r>
            <w:r w:rsidR="004E4925" w:rsidRPr="00EF0AAC">
              <w:rPr>
                <w:rFonts w:ascii="Times New Roman" w:eastAsiaTheme="minorHAnsi" w:hAnsi="Times New Roman" w:cs="Times New Roman"/>
                <w:color w:val="auto"/>
                <w:sz w:val="22"/>
                <w:lang w:eastAsia="en-US"/>
              </w:rPr>
              <w:t xml:space="preserve">                                                                            </w:t>
            </w:r>
            <w:r w:rsidRPr="00EF0AAC">
              <w:rPr>
                <w:rFonts w:ascii="Times New Roman" w:eastAsiaTheme="minorHAnsi" w:hAnsi="Times New Roman" w:cs="Times New Roman"/>
                <w:color w:val="auto"/>
                <w:sz w:val="22"/>
                <w:lang w:eastAsia="en-US"/>
              </w:rPr>
              <w:t xml:space="preserve">                          </w:t>
            </w:r>
            <w:r w:rsidR="000A6078">
              <w:rPr>
                <w:rFonts w:ascii="Times New Roman" w:eastAsiaTheme="minorHAnsi" w:hAnsi="Times New Roman" w:cs="Times New Roman"/>
                <w:b/>
                <w:color w:val="auto"/>
                <w:sz w:val="22"/>
                <w:lang w:eastAsia="en-US"/>
              </w:rPr>
              <w:t>TEHNIČKA ŠKOLA ZA STROJARSTVO I MEHATRONIKU, SPLIT</w:t>
            </w:r>
            <w:r w:rsidR="004E4925" w:rsidRPr="00EF0AAC">
              <w:rPr>
                <w:rFonts w:ascii="Times New Roman" w:eastAsiaTheme="minorHAnsi" w:hAnsi="Times New Roman" w:cs="Times New Roman"/>
                <w:color w:val="auto"/>
                <w:sz w:val="22"/>
                <w:lang w:eastAsia="en-US"/>
              </w:rPr>
              <w:t xml:space="preserve"> </w:t>
            </w:r>
          </w:p>
          <w:p w14:paraId="5A8AAA55" w14:textId="2B080591" w:rsidR="003733B4" w:rsidRPr="00EF0AAC" w:rsidRDefault="000A6078" w:rsidP="00B459CA">
            <w:pPr>
              <w:spacing w:after="0" w:line="259" w:lineRule="auto"/>
              <w:ind w:left="0" w:firstLine="0"/>
              <w:rPr>
                <w:rFonts w:ascii="Times New Roman" w:eastAsiaTheme="minorHAnsi" w:hAnsi="Times New Roman" w:cs="Times New Roman"/>
                <w:color w:val="auto"/>
                <w:sz w:val="22"/>
                <w:lang w:eastAsia="en-US"/>
              </w:rPr>
            </w:pPr>
            <w:r>
              <w:rPr>
                <w:rFonts w:ascii="Times New Roman" w:eastAsiaTheme="minorHAnsi" w:hAnsi="Times New Roman" w:cs="Times New Roman"/>
                <w:color w:val="auto"/>
                <w:sz w:val="22"/>
                <w:lang w:eastAsia="en-US"/>
              </w:rPr>
              <w:t xml:space="preserve">Zrinsko-Frankopanska 23, 21000 Split </w:t>
            </w:r>
            <w:r w:rsidR="004E4925" w:rsidRPr="00EF0AAC">
              <w:rPr>
                <w:rFonts w:ascii="Times New Roman" w:eastAsiaTheme="minorHAnsi" w:hAnsi="Times New Roman" w:cs="Times New Roman"/>
                <w:color w:val="auto"/>
                <w:sz w:val="22"/>
                <w:lang w:eastAsia="en-US"/>
              </w:rPr>
              <w:t xml:space="preserve">                                                                                                    </w:t>
            </w:r>
            <w:r w:rsidR="00EC3356" w:rsidRPr="00EF0AAC">
              <w:rPr>
                <w:rFonts w:ascii="Times New Roman" w:eastAsiaTheme="minorHAnsi" w:hAnsi="Times New Roman" w:cs="Times New Roman"/>
                <w:color w:val="auto"/>
                <w:sz w:val="22"/>
                <w:lang w:eastAsia="en-US"/>
              </w:rPr>
              <w:t xml:space="preserve">KLASA: </w:t>
            </w:r>
            <w:r w:rsidR="003733B4" w:rsidRPr="00EF0AAC">
              <w:rPr>
                <w:rFonts w:ascii="Times New Roman" w:hAnsi="Times New Roman" w:cs="Times New Roman"/>
                <w:sz w:val="22"/>
                <w:lang w:val="en-US"/>
              </w:rPr>
              <w:fldChar w:fldCharType="begin"/>
            </w:r>
            <w:r w:rsidR="003733B4" w:rsidRPr="00EF0AAC">
              <w:rPr>
                <w:rFonts w:ascii="Times New Roman" w:hAnsi="Times New Roman" w:cs="Times New Roman"/>
                <w:sz w:val="22"/>
                <w:lang w:val="en-US"/>
              </w:rPr>
              <w:instrText xml:space="preserve"> MERGEFIELD  CasesClassificationCode  \* MERGEFORMAT </w:instrText>
            </w:r>
            <w:r w:rsidR="003733B4" w:rsidRPr="00EF0AAC">
              <w:rPr>
                <w:rFonts w:ascii="Times New Roman" w:hAnsi="Times New Roman" w:cs="Times New Roman"/>
                <w:sz w:val="22"/>
                <w:lang w:val="en-US"/>
              </w:rPr>
              <w:fldChar w:fldCharType="separate"/>
            </w:r>
            <w:r w:rsidR="003733B4" w:rsidRPr="00EF0AAC">
              <w:rPr>
                <w:rFonts w:ascii="Times New Roman" w:hAnsi="Times New Roman" w:cs="Times New Roman"/>
                <w:noProof/>
                <w:sz w:val="22"/>
                <w:lang w:val="en-US"/>
              </w:rPr>
              <w:t>«CasesClassificationCode»</w:t>
            </w:r>
            <w:r w:rsidR="003733B4" w:rsidRPr="00EF0AAC">
              <w:rPr>
                <w:rFonts w:ascii="Times New Roman" w:hAnsi="Times New Roman" w:cs="Times New Roman"/>
                <w:sz w:val="22"/>
                <w:lang w:val="en-US"/>
              </w:rPr>
              <w:fldChar w:fldCharType="end"/>
            </w:r>
            <w:r w:rsidR="003733B4" w:rsidRPr="00EF0AAC">
              <w:rPr>
                <w:rFonts w:ascii="Times New Roman" w:eastAsiaTheme="minorHAnsi" w:hAnsi="Times New Roman" w:cs="Times New Roman"/>
                <w:color w:val="auto"/>
                <w:sz w:val="22"/>
                <w:lang w:eastAsia="en-US"/>
              </w:rPr>
              <w:t xml:space="preserve">                                                                                                                    </w:t>
            </w:r>
            <w:r w:rsidR="00EC3356" w:rsidRPr="00EF0AAC">
              <w:rPr>
                <w:rFonts w:ascii="Times New Roman" w:eastAsiaTheme="minorHAnsi" w:hAnsi="Times New Roman" w:cs="Times New Roman"/>
                <w:color w:val="auto"/>
                <w:sz w:val="22"/>
                <w:lang w:eastAsia="en-US"/>
              </w:rPr>
              <w:t xml:space="preserve">                    URBROJ: </w:t>
            </w:r>
            <w:r w:rsidR="003733B4" w:rsidRPr="00EF0AAC">
              <w:rPr>
                <w:rFonts w:ascii="Times New Roman" w:eastAsiaTheme="minorHAnsi" w:hAnsi="Times New Roman" w:cs="Times New Roman"/>
                <w:color w:val="auto"/>
                <w:sz w:val="22"/>
                <w:lang w:eastAsia="en-US"/>
              </w:rPr>
              <w:fldChar w:fldCharType="begin"/>
            </w:r>
            <w:r w:rsidR="003733B4" w:rsidRPr="00EF0AAC">
              <w:rPr>
                <w:rFonts w:ascii="Times New Roman" w:eastAsiaTheme="minorHAnsi" w:hAnsi="Times New Roman" w:cs="Times New Roman"/>
                <w:color w:val="auto"/>
                <w:sz w:val="22"/>
                <w:lang w:eastAsia="en-US"/>
              </w:rPr>
              <w:instrText xml:space="preserve"> MERGEFIELD  RegistrationNumber  \* MERGEFORMAT </w:instrText>
            </w:r>
            <w:r w:rsidR="003733B4" w:rsidRPr="00EF0AAC">
              <w:rPr>
                <w:rFonts w:ascii="Times New Roman" w:eastAsiaTheme="minorHAnsi" w:hAnsi="Times New Roman" w:cs="Times New Roman"/>
                <w:color w:val="auto"/>
                <w:sz w:val="22"/>
                <w:lang w:eastAsia="en-US"/>
              </w:rPr>
              <w:fldChar w:fldCharType="separate"/>
            </w:r>
            <w:r w:rsidR="003733B4" w:rsidRPr="00EF0AAC">
              <w:rPr>
                <w:rFonts w:ascii="Times New Roman" w:eastAsiaTheme="minorHAnsi" w:hAnsi="Times New Roman" w:cs="Times New Roman"/>
                <w:noProof/>
                <w:color w:val="auto"/>
                <w:sz w:val="22"/>
                <w:lang w:eastAsia="en-US"/>
              </w:rPr>
              <w:t>«RegistrationNumber»</w:t>
            </w:r>
            <w:r w:rsidR="003733B4" w:rsidRPr="00EF0AAC">
              <w:rPr>
                <w:rFonts w:ascii="Times New Roman" w:eastAsiaTheme="minorHAnsi" w:hAnsi="Times New Roman" w:cs="Times New Roman"/>
                <w:color w:val="auto"/>
                <w:sz w:val="22"/>
                <w:lang w:eastAsia="en-US"/>
              </w:rPr>
              <w:fldChar w:fldCharType="end"/>
            </w:r>
            <w:r w:rsidR="003733B4" w:rsidRPr="00EF0AAC">
              <w:rPr>
                <w:rFonts w:ascii="Times New Roman" w:eastAsiaTheme="minorHAnsi" w:hAnsi="Times New Roman" w:cs="Times New Roman"/>
                <w:color w:val="auto"/>
                <w:sz w:val="22"/>
                <w:lang w:eastAsia="en-US"/>
              </w:rPr>
              <w:t xml:space="preserve">                                                                                                          </w:t>
            </w:r>
            <w:r w:rsidR="001270DA" w:rsidRPr="00EF0AAC">
              <w:rPr>
                <w:rFonts w:ascii="Times New Roman" w:eastAsiaTheme="minorHAnsi" w:hAnsi="Times New Roman" w:cs="Times New Roman"/>
                <w:color w:val="auto"/>
                <w:sz w:val="22"/>
                <w:lang w:eastAsia="en-US"/>
              </w:rPr>
              <w:t xml:space="preserve"> </w:t>
            </w:r>
            <w:r>
              <w:rPr>
                <w:rFonts w:ascii="Times New Roman" w:eastAsiaTheme="minorHAnsi" w:hAnsi="Times New Roman" w:cs="Times New Roman"/>
                <w:color w:val="auto"/>
                <w:sz w:val="22"/>
                <w:lang w:eastAsia="en-US"/>
              </w:rPr>
              <w:t xml:space="preserve">Split, </w:t>
            </w:r>
          </w:p>
        </w:tc>
        <w:tc>
          <w:tcPr>
            <w:tcW w:w="2693" w:type="dxa"/>
          </w:tcPr>
          <w:p w14:paraId="14B55ABE" w14:textId="77777777" w:rsidR="003733B4" w:rsidRPr="00EF0AAC" w:rsidRDefault="003733B4" w:rsidP="00E83DFC">
            <w:pPr>
              <w:spacing w:after="160" w:line="259" w:lineRule="auto"/>
              <w:ind w:left="0" w:firstLine="0"/>
              <w:jc w:val="right"/>
              <w:rPr>
                <w:rFonts w:ascii="Times New Roman" w:eastAsiaTheme="minorHAnsi" w:hAnsi="Times New Roman" w:cs="Times New Roman"/>
                <w:color w:val="auto"/>
                <w:sz w:val="22"/>
                <w:lang w:eastAsia="en-US"/>
              </w:rPr>
            </w:pPr>
            <w:r w:rsidRPr="00EF0AAC">
              <w:rPr>
                <w:rFonts w:ascii="Times New Roman" w:hAnsi="Times New Roman" w:cs="Times New Roman"/>
                <w:sz w:val="22"/>
                <w:lang w:val="en-US"/>
              </w:rPr>
              <w:fldChar w:fldCharType="begin"/>
            </w:r>
            <w:r w:rsidRPr="00EF0AAC">
              <w:rPr>
                <w:rFonts w:ascii="Times New Roman" w:hAnsi="Times New Roman" w:cs="Times New Roman"/>
                <w:sz w:val="22"/>
                <w:lang w:val="en-US"/>
              </w:rPr>
              <w:instrText xml:space="preserve"> MERGEFIELD  Image:QRcode  \* MERGEFORMAT </w:instrText>
            </w:r>
            <w:r w:rsidRPr="00EF0AAC">
              <w:rPr>
                <w:rFonts w:ascii="Times New Roman" w:hAnsi="Times New Roman" w:cs="Times New Roman"/>
                <w:sz w:val="22"/>
                <w:lang w:val="en-US"/>
              </w:rPr>
              <w:fldChar w:fldCharType="separate"/>
            </w:r>
            <w:r w:rsidRPr="00EF0AAC">
              <w:rPr>
                <w:rFonts w:ascii="Times New Roman" w:hAnsi="Times New Roman" w:cs="Times New Roman"/>
                <w:noProof/>
                <w:sz w:val="22"/>
                <w:lang w:val="en-US"/>
              </w:rPr>
              <w:t>«Image:QRcode»</w:t>
            </w:r>
            <w:r w:rsidRPr="00EF0AAC">
              <w:rPr>
                <w:rFonts w:ascii="Times New Roman" w:hAnsi="Times New Roman" w:cs="Times New Roman"/>
                <w:sz w:val="22"/>
                <w:lang w:val="en-US"/>
              </w:rPr>
              <w:fldChar w:fldCharType="end"/>
            </w:r>
          </w:p>
        </w:tc>
      </w:tr>
    </w:tbl>
    <w:bookmarkEnd w:id="0"/>
    <w:p w14:paraId="23C758F1" w14:textId="4C86F74A" w:rsidR="005627E2" w:rsidRPr="00F1068E" w:rsidRDefault="005627E2" w:rsidP="005627E2">
      <w:pPr>
        <w:pStyle w:val="StandardWeb"/>
        <w:spacing w:before="0" w:beforeAutospacing="0"/>
        <w:contextualSpacing/>
        <w:rPr>
          <w:rFonts w:ascii="Cambria" w:hAnsi="Cambria"/>
        </w:rPr>
      </w:pPr>
      <w:r w:rsidRPr="00F1068E">
        <w:rPr>
          <w:rFonts w:ascii="Cambria" w:hAnsi="Cambria"/>
          <w:b/>
        </w:rPr>
        <w:tab/>
      </w:r>
      <w:r w:rsidRPr="00F1068E">
        <w:rPr>
          <w:rFonts w:ascii="Cambria" w:hAnsi="Cambria"/>
          <w:b/>
          <w:i/>
          <w:u w:val="single"/>
        </w:rPr>
        <w:t xml:space="preserve"> </w:t>
      </w:r>
    </w:p>
    <w:p w14:paraId="71E84592" w14:textId="6CD57808" w:rsidR="005627E2" w:rsidRPr="005627E2" w:rsidRDefault="005627E2" w:rsidP="005627E2">
      <w:pPr>
        <w:jc w:val="both"/>
        <w:rPr>
          <w:rFonts w:ascii="Aptos" w:hAnsi="Aptos"/>
          <w:szCs w:val="24"/>
        </w:rPr>
      </w:pPr>
      <w:r w:rsidRPr="005627E2">
        <w:rPr>
          <w:rFonts w:ascii="Aptos" w:hAnsi="Aptos"/>
          <w:szCs w:val="24"/>
        </w:rPr>
        <w:tab/>
      </w:r>
      <w:r w:rsidRPr="005627E2">
        <w:rPr>
          <w:rFonts w:ascii="Aptos" w:hAnsi="Aptos"/>
        </w:rPr>
        <w:t xml:space="preserve">Na temelju čl. 107. </w:t>
      </w:r>
      <w:r w:rsidRPr="005627E2">
        <w:rPr>
          <w:rFonts w:ascii="Aptos" w:hAnsi="Aptos"/>
          <w:i/>
        </w:rPr>
        <w:t xml:space="preserve">Zakona o odgoju i obrazovanju u osnovnoj i srednjoj školi </w:t>
      </w:r>
      <w:r w:rsidRPr="005627E2">
        <w:rPr>
          <w:rFonts w:ascii="Aptos" w:hAnsi="Aptos"/>
        </w:rPr>
        <w:t xml:space="preserve">(NN br. 87/08, 86/09, 92/10, 105/10, 90/11, 5/12, 16/12, 86/12, 126/12,  94/13, 152/14, 7/17, 68/18, 98/19, 64/20, 151/22 i 156/23), odredbi Pravilnika o načinu i postupku zapošljavanja u Tehničkoj školi za strojarstvo i mehatroniku, Split raspisuje </w:t>
      </w:r>
    </w:p>
    <w:p w14:paraId="278AA0D7" w14:textId="77777777" w:rsidR="005627E2" w:rsidRPr="005627E2" w:rsidRDefault="005627E2" w:rsidP="005627E2">
      <w:pPr>
        <w:spacing w:after="0"/>
        <w:jc w:val="center"/>
        <w:rPr>
          <w:rFonts w:ascii="Aptos" w:hAnsi="Aptos"/>
          <w:b/>
          <w:bCs/>
          <w:szCs w:val="24"/>
        </w:rPr>
      </w:pPr>
      <w:r w:rsidRPr="005627E2">
        <w:rPr>
          <w:rFonts w:ascii="Aptos" w:hAnsi="Aptos"/>
          <w:b/>
          <w:bCs/>
          <w:szCs w:val="24"/>
        </w:rPr>
        <w:t>NATJEČAJ</w:t>
      </w:r>
    </w:p>
    <w:p w14:paraId="00D8A153" w14:textId="06F2B15B" w:rsidR="005627E2" w:rsidRPr="005627E2" w:rsidRDefault="005627E2" w:rsidP="005627E2">
      <w:pPr>
        <w:spacing w:after="0"/>
        <w:jc w:val="center"/>
        <w:rPr>
          <w:rFonts w:ascii="Aptos" w:hAnsi="Aptos"/>
          <w:b/>
          <w:bCs/>
          <w:szCs w:val="24"/>
        </w:rPr>
      </w:pPr>
      <w:r w:rsidRPr="005627E2">
        <w:rPr>
          <w:rFonts w:ascii="Aptos" w:hAnsi="Aptos"/>
          <w:b/>
          <w:bCs/>
          <w:szCs w:val="24"/>
        </w:rPr>
        <w:t>za zasnivanje radnog odnosa</w:t>
      </w:r>
    </w:p>
    <w:p w14:paraId="1B3919F6" w14:textId="77777777" w:rsidR="005627E2" w:rsidRPr="005627E2" w:rsidRDefault="005627E2" w:rsidP="005627E2">
      <w:pPr>
        <w:spacing w:after="0"/>
        <w:jc w:val="center"/>
        <w:rPr>
          <w:rFonts w:ascii="Aptos" w:hAnsi="Aptos"/>
          <w:szCs w:val="24"/>
        </w:rPr>
      </w:pPr>
    </w:p>
    <w:p w14:paraId="11B19278" w14:textId="4A865130" w:rsidR="005627E2" w:rsidRPr="0021060F" w:rsidRDefault="005627E2" w:rsidP="002C6895">
      <w:pPr>
        <w:pStyle w:val="Odlomakpopisa"/>
        <w:numPr>
          <w:ilvl w:val="0"/>
          <w:numId w:val="6"/>
        </w:numPr>
        <w:spacing w:after="0" w:line="240" w:lineRule="auto"/>
        <w:rPr>
          <w:rFonts w:ascii="Aptos" w:hAnsi="Aptos"/>
          <w:b/>
          <w:szCs w:val="24"/>
        </w:rPr>
      </w:pPr>
      <w:r w:rsidRPr="0021060F">
        <w:rPr>
          <w:rFonts w:ascii="Aptos" w:hAnsi="Aptos"/>
          <w:b/>
        </w:rPr>
        <w:t xml:space="preserve">NASTAVNIK koji obavlja poslove nastavnika </w:t>
      </w:r>
      <w:r w:rsidR="002C6895">
        <w:rPr>
          <w:rFonts w:ascii="Aptos" w:hAnsi="Aptos"/>
          <w:b/>
        </w:rPr>
        <w:t xml:space="preserve">računalstva                                                         </w:t>
      </w:r>
      <w:r w:rsidR="000A116C">
        <w:rPr>
          <w:rFonts w:ascii="Aptos" w:hAnsi="Aptos"/>
          <w:b/>
        </w:rPr>
        <w:t xml:space="preserve"> </w:t>
      </w:r>
      <w:r w:rsidRPr="0021060F">
        <w:rPr>
          <w:rFonts w:ascii="Aptos" w:hAnsi="Aptos"/>
          <w:b/>
        </w:rPr>
        <w:t xml:space="preserve">  </w:t>
      </w:r>
      <w:r w:rsidR="000A116C">
        <w:rPr>
          <w:rFonts w:ascii="Aptos" w:hAnsi="Aptos"/>
          <w:b/>
        </w:rPr>
        <w:t xml:space="preserve">                 1 </w:t>
      </w:r>
      <w:r w:rsidRPr="0021060F">
        <w:rPr>
          <w:rFonts w:ascii="Aptos" w:hAnsi="Aptos"/>
          <w:b/>
        </w:rPr>
        <w:t xml:space="preserve">izvršitelj/izvršiteljica, na određeno </w:t>
      </w:r>
      <w:r w:rsidR="002C6895">
        <w:rPr>
          <w:rFonts w:ascii="Aptos" w:hAnsi="Aptos"/>
          <w:b/>
        </w:rPr>
        <w:t>ne</w:t>
      </w:r>
      <w:r w:rsidRPr="0021060F">
        <w:rPr>
          <w:rFonts w:ascii="Aptos" w:hAnsi="Aptos"/>
          <w:b/>
        </w:rPr>
        <w:t>puno radno vrijeme (</w:t>
      </w:r>
      <w:r w:rsidR="002C6895">
        <w:rPr>
          <w:rFonts w:ascii="Aptos" w:hAnsi="Aptos"/>
          <w:b/>
        </w:rPr>
        <w:t>25 administrativnih sati tjedno</w:t>
      </w:r>
      <w:r w:rsidRPr="0021060F">
        <w:rPr>
          <w:rFonts w:ascii="Aptos" w:hAnsi="Aptos"/>
          <w:b/>
        </w:rPr>
        <w:t>) do povratka odsutne djelatnice na rad, mjesto rada Tehnička škola za strojarstvo i mehatroniku, Split, Zrinsko -Frankopanska 23, Split</w:t>
      </w:r>
      <w:r w:rsidR="0021060F">
        <w:rPr>
          <w:rFonts w:ascii="Aptos" w:hAnsi="Aptos"/>
          <w:b/>
        </w:rPr>
        <w:t>.</w:t>
      </w:r>
    </w:p>
    <w:p w14:paraId="4B97329C" w14:textId="77777777" w:rsidR="0021060F" w:rsidRDefault="0021060F" w:rsidP="0021060F">
      <w:pPr>
        <w:pStyle w:val="Odlomakpopisa"/>
        <w:spacing w:after="0" w:line="240" w:lineRule="auto"/>
        <w:ind w:firstLine="0"/>
        <w:jc w:val="both"/>
        <w:rPr>
          <w:rFonts w:ascii="Aptos" w:hAnsi="Aptos"/>
          <w:b/>
        </w:rPr>
      </w:pPr>
    </w:p>
    <w:p w14:paraId="08C0F703" w14:textId="77777777" w:rsidR="004B0555" w:rsidRDefault="004B0555" w:rsidP="004B0555">
      <w:pPr>
        <w:spacing w:after="0" w:line="240" w:lineRule="auto"/>
        <w:jc w:val="both"/>
        <w:rPr>
          <w:rFonts w:ascii="Aptos" w:hAnsi="Aptos"/>
          <w:szCs w:val="24"/>
        </w:rPr>
      </w:pPr>
      <w:r w:rsidRPr="0021060F">
        <w:rPr>
          <w:rFonts w:ascii="Aptos" w:hAnsi="Aptos"/>
          <w:b/>
        </w:rPr>
        <w:t xml:space="preserve">Za zasnivanje radnog odnosa, uz opće uvjete za zasnivanje radnog odnosa, sukladno općim propisima o radu, kandidat mora ispuniti i posebne uvjete propisane </w:t>
      </w:r>
      <w:r w:rsidRPr="0021060F">
        <w:rPr>
          <w:rFonts w:ascii="Aptos" w:hAnsi="Aptos"/>
          <w:szCs w:val="24"/>
        </w:rPr>
        <w:t xml:space="preserve">čl. 105. </w:t>
      </w:r>
      <w:r>
        <w:rPr>
          <w:rFonts w:ascii="Aptos" w:hAnsi="Aptos"/>
          <w:szCs w:val="24"/>
        </w:rPr>
        <w:t xml:space="preserve">i </w:t>
      </w:r>
      <w:r w:rsidRPr="0021060F">
        <w:rPr>
          <w:rFonts w:ascii="Aptos" w:hAnsi="Aptos"/>
          <w:szCs w:val="24"/>
        </w:rPr>
        <w:t xml:space="preserve">čl. 106. </w:t>
      </w:r>
      <w:r w:rsidRPr="0021060F">
        <w:rPr>
          <w:rFonts w:ascii="Aptos" w:hAnsi="Aptos"/>
          <w:i/>
          <w:szCs w:val="24"/>
        </w:rPr>
        <w:t>Zakona o odgoju i obrazovanju u osnovnoj i srednjoj školi</w:t>
      </w:r>
      <w:r w:rsidRPr="0021060F">
        <w:rPr>
          <w:rFonts w:ascii="Aptos" w:hAnsi="Aptos"/>
          <w:szCs w:val="24"/>
        </w:rPr>
        <w:t xml:space="preserve"> (NN br. 87/08, 86/09, 92/10, 105/10, 90/11, 5/12, 16/12, 86/12, 126/12, 94/13, 152/14, 7/17,  68/18, 98/19, 64/20,151/22 i 156/23)</w:t>
      </w:r>
      <w:r>
        <w:rPr>
          <w:rFonts w:ascii="Aptos" w:hAnsi="Aptos"/>
          <w:szCs w:val="24"/>
        </w:rPr>
        <w:t>.</w:t>
      </w:r>
      <w:r w:rsidRPr="0021060F">
        <w:rPr>
          <w:rFonts w:ascii="Aptos" w:hAnsi="Aptos"/>
          <w:i/>
          <w:szCs w:val="24"/>
        </w:rPr>
        <w:t xml:space="preserve"> </w:t>
      </w:r>
      <w:r>
        <w:rPr>
          <w:rFonts w:ascii="Aptos" w:hAnsi="Aptos"/>
          <w:i/>
          <w:szCs w:val="24"/>
        </w:rPr>
        <w:t>Odgovarajuća vrsta i razina obrazovanja za radna mjesta iz ovog Natječaja propisana je</w:t>
      </w:r>
      <w:r w:rsidRPr="007E1B52">
        <w:rPr>
          <w:rFonts w:ascii="Aptos" w:hAnsi="Aptos"/>
          <w:szCs w:val="24"/>
        </w:rPr>
        <w:t xml:space="preserve"> </w:t>
      </w:r>
      <w:r w:rsidRPr="0021060F">
        <w:rPr>
          <w:rFonts w:ascii="Aptos" w:hAnsi="Aptos"/>
          <w:szCs w:val="24"/>
        </w:rPr>
        <w:t>Pravilnikom o stručnoj spremi i pedagoško-psihološkom obrazovanju nastavnika u srednjem školstvu (NN br. 1/96 i 80/99).</w:t>
      </w:r>
      <w:r>
        <w:rPr>
          <w:rFonts w:ascii="Aptos" w:hAnsi="Aptos"/>
          <w:i/>
          <w:szCs w:val="24"/>
        </w:rPr>
        <w:t xml:space="preserve"> </w:t>
      </w:r>
      <w:r w:rsidRPr="0021060F">
        <w:rPr>
          <w:rFonts w:ascii="Aptos" w:hAnsi="Aptos"/>
          <w:szCs w:val="24"/>
        </w:rPr>
        <w:t>te</w:t>
      </w:r>
      <w:r>
        <w:rPr>
          <w:rFonts w:ascii="Aptos" w:hAnsi="Aptos"/>
          <w:szCs w:val="24"/>
        </w:rPr>
        <w:t xml:space="preserve"> </w:t>
      </w:r>
      <w:r w:rsidRPr="0021060F">
        <w:rPr>
          <w:rFonts w:ascii="Aptos" w:hAnsi="Aptos"/>
          <w:szCs w:val="24"/>
        </w:rPr>
        <w:t xml:space="preserve"> Nastavn</w:t>
      </w:r>
      <w:r>
        <w:rPr>
          <w:rFonts w:ascii="Aptos" w:hAnsi="Aptos"/>
          <w:szCs w:val="24"/>
        </w:rPr>
        <w:t>im</w:t>
      </w:r>
      <w:r w:rsidRPr="0021060F">
        <w:rPr>
          <w:rFonts w:ascii="Aptos" w:hAnsi="Aptos"/>
          <w:szCs w:val="24"/>
        </w:rPr>
        <w:t xml:space="preserve"> plan</w:t>
      </w:r>
      <w:r>
        <w:rPr>
          <w:rFonts w:ascii="Aptos" w:hAnsi="Aptos"/>
          <w:szCs w:val="24"/>
        </w:rPr>
        <w:t>ovima</w:t>
      </w:r>
      <w:r w:rsidRPr="0021060F">
        <w:rPr>
          <w:rFonts w:ascii="Aptos" w:hAnsi="Aptos"/>
          <w:szCs w:val="24"/>
        </w:rPr>
        <w:t xml:space="preserve"> i programu / Strukovnom kurikulumu za stjecanje strukovne kvalifikacije, tehničar za mehatroniku</w:t>
      </w:r>
      <w:r>
        <w:rPr>
          <w:rFonts w:ascii="Aptos" w:hAnsi="Aptos"/>
          <w:szCs w:val="24"/>
        </w:rPr>
        <w:t>, tehničar u strojarstvu</w:t>
      </w:r>
      <w:r w:rsidRPr="0021060F">
        <w:rPr>
          <w:rFonts w:ascii="Aptos" w:hAnsi="Aptos"/>
          <w:szCs w:val="24"/>
        </w:rPr>
        <w:t xml:space="preserve"> i strojarski računalni tehničar</w:t>
      </w:r>
      <w:r>
        <w:rPr>
          <w:rFonts w:ascii="Aptos" w:hAnsi="Aptos"/>
          <w:szCs w:val="24"/>
        </w:rPr>
        <w:t>.</w:t>
      </w:r>
    </w:p>
    <w:p w14:paraId="2FFE01AB" w14:textId="77777777" w:rsidR="00825B9D" w:rsidRPr="0021060F" w:rsidRDefault="00825B9D" w:rsidP="0021060F">
      <w:pPr>
        <w:spacing w:after="0" w:line="240" w:lineRule="auto"/>
        <w:jc w:val="both"/>
        <w:rPr>
          <w:rFonts w:ascii="Aptos" w:hAnsi="Aptos"/>
          <w:b/>
          <w:szCs w:val="24"/>
        </w:rPr>
      </w:pPr>
    </w:p>
    <w:p w14:paraId="25A9BF84" w14:textId="1863EE54" w:rsidR="000A116C" w:rsidRDefault="005627E2" w:rsidP="000A116C">
      <w:pPr>
        <w:pStyle w:val="StandardWeb"/>
        <w:spacing w:before="0" w:beforeAutospacing="0" w:after="0" w:afterAutospacing="0"/>
        <w:rPr>
          <w:rFonts w:ascii="Aptos" w:hAnsi="Aptos"/>
        </w:rPr>
      </w:pPr>
      <w:r w:rsidRPr="005627E2">
        <w:rPr>
          <w:rStyle w:val="Naglaeno"/>
          <w:rFonts w:ascii="Aptos" w:hAnsi="Aptos"/>
        </w:rPr>
        <w:t xml:space="preserve">Uz </w:t>
      </w:r>
      <w:r w:rsidR="0021060F">
        <w:rPr>
          <w:rStyle w:val="Naglaeno"/>
          <w:rFonts w:ascii="Aptos" w:hAnsi="Aptos"/>
        </w:rPr>
        <w:t xml:space="preserve">vlastoručno potpisanu prijavu kandidat je dužan </w:t>
      </w:r>
      <w:r w:rsidRPr="005627E2">
        <w:rPr>
          <w:rStyle w:val="Naglaeno"/>
          <w:rFonts w:ascii="Aptos" w:hAnsi="Aptos"/>
        </w:rPr>
        <w:t>priložiti:</w:t>
      </w:r>
      <w:r w:rsidRPr="005627E2">
        <w:rPr>
          <w:rFonts w:ascii="Aptos" w:hAnsi="Aptos"/>
          <w:b/>
          <w:bCs/>
        </w:rPr>
        <w:br/>
      </w:r>
      <w:r w:rsidR="000A116C">
        <w:rPr>
          <w:rFonts w:ascii="Aptos" w:hAnsi="Aptos"/>
        </w:rPr>
        <w:t xml:space="preserve">- </w:t>
      </w:r>
      <w:r w:rsidRPr="005627E2">
        <w:rPr>
          <w:rFonts w:ascii="Aptos" w:hAnsi="Aptos"/>
        </w:rPr>
        <w:t>životopis,</w:t>
      </w:r>
      <w:r w:rsidRPr="005627E2">
        <w:rPr>
          <w:rFonts w:ascii="Aptos" w:hAnsi="Aptos"/>
        </w:rPr>
        <w:br/>
      </w:r>
      <w:r w:rsidR="000A116C">
        <w:rPr>
          <w:rFonts w:ascii="Aptos" w:hAnsi="Aptos"/>
        </w:rPr>
        <w:t>-</w:t>
      </w:r>
      <w:r w:rsidR="0021060F">
        <w:rPr>
          <w:rFonts w:ascii="Aptos" w:hAnsi="Aptos"/>
        </w:rPr>
        <w:t>dokaz o odgovarajućoj vrsti i razini obrazovanja</w:t>
      </w:r>
      <w:r w:rsidRPr="005627E2">
        <w:rPr>
          <w:rFonts w:ascii="Aptos" w:hAnsi="Aptos"/>
        </w:rPr>
        <w:t xml:space="preserve"> </w:t>
      </w:r>
    </w:p>
    <w:p w14:paraId="5F45D116" w14:textId="33E87EFF" w:rsidR="000A116C" w:rsidRDefault="000A116C" w:rsidP="000A116C">
      <w:pPr>
        <w:pStyle w:val="StandardWeb"/>
        <w:spacing w:before="0" w:beforeAutospacing="0" w:after="0" w:afterAutospacing="0"/>
        <w:rPr>
          <w:rFonts w:ascii="Aptos" w:hAnsi="Aptos"/>
        </w:rPr>
      </w:pPr>
      <w:r>
        <w:rPr>
          <w:rFonts w:ascii="Aptos" w:hAnsi="Aptos"/>
        </w:rPr>
        <w:t>- Presliku uvjerenja ili potvrde o stečenim pedagoškim kompetencijama (za kandidate koji  su ih po Zakonu obvezni steći)</w:t>
      </w:r>
    </w:p>
    <w:p w14:paraId="2E5C5978" w14:textId="795CD845" w:rsidR="005627E2" w:rsidRPr="005627E2" w:rsidRDefault="000A116C" w:rsidP="000A116C">
      <w:pPr>
        <w:pStyle w:val="StandardWeb"/>
        <w:spacing w:before="0" w:beforeAutospacing="0" w:after="0" w:afterAutospacing="0"/>
        <w:rPr>
          <w:rFonts w:ascii="Aptos" w:hAnsi="Aptos"/>
        </w:rPr>
      </w:pPr>
      <w:r>
        <w:rPr>
          <w:rFonts w:ascii="Aptos" w:hAnsi="Aptos"/>
        </w:rPr>
        <w:t>-</w:t>
      </w:r>
      <w:r w:rsidR="005627E2" w:rsidRPr="005627E2">
        <w:rPr>
          <w:rFonts w:ascii="Aptos" w:hAnsi="Aptos"/>
        </w:rPr>
        <w:t xml:space="preserve"> dokaz o državljanstvu</w:t>
      </w:r>
    </w:p>
    <w:p w14:paraId="27E11BE6" w14:textId="2196AF8D" w:rsidR="005627E2" w:rsidRPr="005627E2" w:rsidRDefault="005627E2" w:rsidP="0021060F">
      <w:pPr>
        <w:pStyle w:val="StandardWeb"/>
        <w:spacing w:before="0" w:beforeAutospacing="0" w:after="0" w:afterAutospacing="0"/>
        <w:rPr>
          <w:rFonts w:ascii="Aptos" w:hAnsi="Aptos"/>
          <w:b/>
        </w:rPr>
      </w:pPr>
      <w:r w:rsidRPr="005627E2">
        <w:rPr>
          <w:rStyle w:val="Naglaeno"/>
          <w:rFonts w:ascii="Aptos" w:hAnsi="Aptos"/>
        </w:rPr>
        <w:t xml:space="preserve"> </w:t>
      </w:r>
    </w:p>
    <w:p w14:paraId="01F80F17" w14:textId="77777777" w:rsidR="005627E2" w:rsidRPr="005627E2" w:rsidRDefault="005627E2" w:rsidP="005627E2">
      <w:pPr>
        <w:pStyle w:val="StandardWeb"/>
        <w:numPr>
          <w:ilvl w:val="0"/>
          <w:numId w:val="1"/>
        </w:numPr>
        <w:jc w:val="both"/>
        <w:rPr>
          <w:rFonts w:ascii="Aptos" w:hAnsi="Aptos"/>
        </w:rPr>
      </w:pPr>
      <w:r w:rsidRPr="005627E2">
        <w:rPr>
          <w:rFonts w:ascii="Aptos" w:hAnsi="Aptos"/>
        </w:rPr>
        <w:lastRenderedPageBreak/>
        <w:t xml:space="preserve">potvrdu o evidentiranom radnom stažu - elektronički zapis ili potvrdu o podacima evidentiranim u matičnoj evidenciji Hrvatskog zavoda za mirovinsko osiguranje, ne starije od mjesec dana prije objave natječaja </w:t>
      </w:r>
    </w:p>
    <w:p w14:paraId="2467923D" w14:textId="77777777" w:rsidR="005627E2" w:rsidRPr="005627E2" w:rsidRDefault="005627E2" w:rsidP="005627E2">
      <w:pPr>
        <w:pStyle w:val="StandardWeb"/>
        <w:numPr>
          <w:ilvl w:val="0"/>
          <w:numId w:val="4"/>
        </w:numPr>
        <w:jc w:val="both"/>
        <w:rPr>
          <w:rFonts w:ascii="Aptos" w:hAnsi="Aptos"/>
        </w:rPr>
      </w:pPr>
      <w:r w:rsidRPr="005627E2">
        <w:rPr>
          <w:rFonts w:ascii="Aptos" w:hAnsi="Aptos"/>
        </w:rPr>
        <w:t xml:space="preserve">Kandidati su dužni priložiti i dokaze o ispunjavanju uvjeta iz čl. 106. </w:t>
      </w:r>
      <w:r w:rsidRPr="005627E2">
        <w:rPr>
          <w:rFonts w:ascii="Aptos" w:hAnsi="Aptos"/>
          <w:i/>
        </w:rPr>
        <w:t xml:space="preserve">Zakona o odgoju i obrazovanju u osnovnom i srednjem školstvu </w:t>
      </w:r>
      <w:r w:rsidRPr="005627E2">
        <w:rPr>
          <w:rFonts w:ascii="Aptos" w:hAnsi="Aptos"/>
        </w:rPr>
        <w:t>(NN br. 87/08, 86/09,  92/10, 105/10, 90/11, 5/12, 16/12, 86/12, 126/12, 94/13, 152/14, 7/17, 68/18, 98/19, 64/20, 151/22 i 156/23) odnosno priložiti Uvjerenje o nekažnjavanju ne starije od dana objave natječaja</w:t>
      </w:r>
    </w:p>
    <w:p w14:paraId="0274B7E9" w14:textId="5DC09401" w:rsidR="009F614F" w:rsidRPr="00825B9D" w:rsidRDefault="005627E2" w:rsidP="00825B9D">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 xml:space="preserve">Kandidat koji je stekao inozemnu obrazovnu kvalifikaciju u inozemstvu (izvan Republike Hrvatske) ne može se zaposliti u odgojno-obrazovnoj ustanovi temeljem rješenja Agencije za znanost i visoko obrazovanje već temeljem rješenja Ministarstva znanosti i obrazovanja. Kandidat kojemu je rješenjem Ministarstva znanosti i obrazovanja priznata inozemna stručna kvalifikacija kojom se ostvaruje pravo na pristup i obavljanje regulirane profesije nije dužan ishoditi rješenje Agencije za znanost i visoko obrazovanje za potrebe zapošljavanja u odgojno-obrazovnoj ustanovi (više na poveznici: </w:t>
      </w:r>
      <w:hyperlink r:id="rId8" w:history="1">
        <w:r w:rsidRPr="005627E2">
          <w:rPr>
            <w:rFonts w:ascii="Aptos" w:hAnsi="Aptos"/>
            <w:color w:val="0066CC"/>
            <w:szCs w:val="24"/>
            <w:u w:val="single"/>
          </w:rPr>
          <w:t>https://mzo.gov.hr/istaknute-teme/odgoj-i-obrazovanje/priznavanje-inozemnih-obrazovnih-i-strucnih-kvalifikacija/279</w:t>
        </w:r>
      </w:hyperlink>
    </w:p>
    <w:p w14:paraId="50FFCB1B" w14:textId="6E73D53E" w:rsidR="00656367" w:rsidRPr="00825B9D" w:rsidRDefault="00656367" w:rsidP="00825B9D">
      <w:pPr>
        <w:numPr>
          <w:ilvl w:val="0"/>
          <w:numId w:val="1"/>
        </w:numPr>
        <w:spacing w:before="100" w:beforeAutospacing="1" w:after="100" w:afterAutospacing="1" w:line="240" w:lineRule="auto"/>
        <w:jc w:val="both"/>
        <w:rPr>
          <w:rFonts w:ascii="Aptos" w:hAnsi="Aptos"/>
          <w:szCs w:val="24"/>
        </w:rPr>
      </w:pPr>
      <w:r>
        <w:rPr>
          <w:rFonts w:ascii="Aptos" w:hAnsi="Aptos"/>
          <w:szCs w:val="24"/>
        </w:rPr>
        <w:t xml:space="preserve">Ostale potrebne priloge/isprave/dokaze (za kandidate koji su stekli inozemnu obrazovnu kvalifikaciju, te za kandidate koju se prema posebnim propisima pozivanju na pravo prednosti pri zapošljavanju pod jednakim uvjetima. </w:t>
      </w:r>
    </w:p>
    <w:p w14:paraId="3C494925" w14:textId="22D71CDE" w:rsidR="00656367" w:rsidRPr="00825B9D" w:rsidRDefault="005627E2" w:rsidP="00825B9D">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U prijavi na natječaj navode se osobni podaci podnositelja prijave (osobno ime, adresa stanovanja, broj telefona/mobitela i e-adresa)  te  naziv radnog mjesta na koje se prijavljuje.</w:t>
      </w:r>
    </w:p>
    <w:p w14:paraId="505F8637" w14:textId="4941900D"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Prilozi odnosno isprave koje su kandidati dužni priložiti uz prijavu na natječaj prilažu se u  neovjerenoj preslici, a izabrani kandidat je prije sklapanja ugovora o radu dužan predočiti izvornike</w:t>
      </w:r>
      <w:r w:rsidR="00656367">
        <w:rPr>
          <w:rFonts w:ascii="Aptos" w:hAnsi="Aptos"/>
          <w:szCs w:val="24"/>
        </w:rPr>
        <w:t xml:space="preserve"> ili preslike ovjerene kod javnog bilježnika sukladno Zakonu o javnom bilježništvu (NN 78/93, 29/94, 162/98, 16/07, 75/09,120/16 i 57/22)</w:t>
      </w:r>
      <w:r w:rsidRPr="005627E2">
        <w:rPr>
          <w:rFonts w:ascii="Aptos" w:hAnsi="Aptos"/>
          <w:szCs w:val="24"/>
        </w:rPr>
        <w:t>.</w:t>
      </w:r>
    </w:p>
    <w:p w14:paraId="7BACBB8D"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Sukladno Zakonu o ravnopravnosti spolova (NN br. 82/08 i 69/17) na natječaj se mogu ravnopravno prijaviti osobe oba spola. Izrazi koji se koriste u natječaju, a imaju rodno značenje, koriste se neutralno i odnose se jednako na muške i na ženske osobe.</w:t>
      </w:r>
    </w:p>
    <w:p w14:paraId="2CA40CAE"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Kandidati koji mogu ostvariti pravo prednosti pri zapošljavanju prema čl. 102. Zakona o hrvatskim braniteljima iz Domovinskog rata i članovima njihovih obitelji (NN br. 121/17, 98/19, 84/21 I 156/23),  čl. 48. f  Zakona o zaštiti vojnih i civilnih invalida rata (NN br. 33/92, 77/92, 27/93, 58/93, 2/94, 76/94, 108/95, 108/96, 82/01, 103/03, 148/13 i 98/19), čl. 48. Zakona o civilnim stradalnicima iz Domovinskog rata (NN br. 84/21) i čl. 9. Zakona o profesionalnoj rehabilitaciji i zapošljavanju osoba s invaliditetom (NN br. 157/13, 152/14, 39/18 i 32/20), dužni su se u prijavi na javni natječaj pozvati na to pravo te su uz prijavu dužni su priložiti dokumentaciju propisanu posebnim zakonom. Navedeni kandidati imaju prednost u odnosu na ostale kandidate samo pod jednakim uvjetima.</w:t>
      </w:r>
    </w:p>
    <w:p w14:paraId="2C873DD0"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lastRenderedPageBreak/>
        <w:t>Kandidati koji pravo prednosti pri zapošljavanju ostvaruju prema Zakonu o hrvatskim braniteljima iz Domovinskog rata i članovima njihovih obitelji (NN br. 121/17, 98/19 i  84/21), dužni su uz prijavu na natječaj dostaviti dokaze iz čl. 103. st. 1. istog Zakona, a koji se mogu pronaći na internetskim stranicama Ministarstva branitelja:</w:t>
      </w:r>
    </w:p>
    <w:p w14:paraId="5B5B1CCB" w14:textId="77777777" w:rsidR="005627E2" w:rsidRPr="005627E2" w:rsidRDefault="005627E2" w:rsidP="005627E2">
      <w:pPr>
        <w:spacing w:before="100" w:beforeAutospacing="1" w:after="100" w:afterAutospacing="1"/>
        <w:ind w:left="1080"/>
        <w:jc w:val="both"/>
        <w:rPr>
          <w:rFonts w:ascii="Aptos" w:hAnsi="Aptos"/>
          <w:szCs w:val="24"/>
        </w:rPr>
      </w:pPr>
      <w:hyperlink r:id="rId9" w:history="1">
        <w:r w:rsidRPr="005627E2">
          <w:rPr>
            <w:rFonts w:ascii="Aptos" w:hAnsi="Aptos"/>
            <w:color w:val="0066CC"/>
            <w:szCs w:val="24"/>
            <w:u w:val="single"/>
          </w:rPr>
          <w:t>https://branitelji.gov.hr/UserDocsImages//dokumenti/Nikola//popis%20dokaza%20za%20ostvarivanje%20prava%20prednosti%20pri%20zapo%C5%A1ljavanju-%20ZOHBDR%202021.pdf</w:t>
        </w:r>
      </w:hyperlink>
    </w:p>
    <w:p w14:paraId="516C757B"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Kandidati koji se pozivaju na pravo prednosti pri zapošljavanju sukladno čl. 48. 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  </w:t>
      </w:r>
    </w:p>
    <w:p w14:paraId="48E3D270"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Kandidati koji se pozivaju na pravo prednosti pri zapošljavanju na temelju čl. 48. st. 1. do 3. Zakona o civilnim stradalnicima iz Domovinskog rata (NN br. 84/21), dužni su uz prijavu na natječaj, pored priloženih dokaza o ispunjavanju traženih uvjeta, priložiti i sve potrebne dokaze iz čl. 49. st. 1. Zakona o civilnim stradalnicima iz Domovinskog rata koji su dostupni na poveznici:</w:t>
      </w:r>
    </w:p>
    <w:p w14:paraId="670CFBF6" w14:textId="77777777" w:rsidR="005627E2" w:rsidRPr="005627E2" w:rsidRDefault="005627E2" w:rsidP="005627E2">
      <w:pPr>
        <w:spacing w:before="100" w:beforeAutospacing="1" w:after="100" w:afterAutospacing="1"/>
        <w:ind w:left="1080"/>
        <w:jc w:val="both"/>
        <w:rPr>
          <w:rFonts w:ascii="Aptos" w:hAnsi="Aptos"/>
          <w:szCs w:val="24"/>
        </w:rPr>
      </w:pPr>
      <w:hyperlink r:id="rId10" w:history="1">
        <w:r w:rsidRPr="005627E2">
          <w:rPr>
            <w:rFonts w:ascii="Aptos" w:hAnsi="Aptos"/>
            <w:color w:val="0066CC"/>
            <w:szCs w:val="24"/>
            <w:u w:val="single"/>
          </w:rPr>
          <w:t>https://branitelji.gov.hr/UserDocsImages//dokumenti/Nikola//popis%20dokaza%20za%20ostvarivanje%20prava%20prednosti%20pri%20zapo%C5%A1ljavanju-%20Zakon%20o%20civilnim%20stradalnicima%20iz%20DR.pdf</w:t>
        </w:r>
      </w:hyperlink>
    </w:p>
    <w:p w14:paraId="782AEE12"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Kandidati koji se pozivaju na pravo prednosti pri zapošljavanju sukladno čl.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w:t>
      </w:r>
    </w:p>
    <w:p w14:paraId="332FAEF4" w14:textId="72AB0BB4" w:rsidR="00A27A37" w:rsidRDefault="00656367" w:rsidP="00A27A37">
      <w:pPr>
        <w:numPr>
          <w:ilvl w:val="0"/>
          <w:numId w:val="1"/>
        </w:numPr>
        <w:spacing w:after="0" w:line="240" w:lineRule="auto"/>
        <w:jc w:val="both"/>
        <w:rPr>
          <w:rFonts w:ascii="Aptos" w:hAnsi="Aptos" w:cs="Tahoma"/>
          <w:szCs w:val="24"/>
        </w:rPr>
      </w:pPr>
      <w:r>
        <w:rPr>
          <w:rFonts w:ascii="Aptos" w:hAnsi="Aptos" w:cs="Tahoma"/>
          <w:szCs w:val="24"/>
        </w:rPr>
        <w:t xml:space="preserve">Kandidat koji je pravodobno dostavio </w:t>
      </w:r>
      <w:r w:rsidR="00A27A37">
        <w:rPr>
          <w:rFonts w:ascii="Aptos" w:hAnsi="Aptos" w:cs="Tahoma"/>
          <w:szCs w:val="24"/>
        </w:rPr>
        <w:t>potpunu</w:t>
      </w:r>
      <w:r>
        <w:rPr>
          <w:rFonts w:ascii="Aptos" w:hAnsi="Aptos" w:cs="Tahoma"/>
          <w:szCs w:val="24"/>
        </w:rPr>
        <w:t xml:space="preserve"> prijavu sa svim potrebnim prilozima odnosno ispravama i ispunjava uvjete natječaja, dužan je pristupiti procjeni odnosno testiranju p</w:t>
      </w:r>
      <w:r w:rsidR="00A27A37">
        <w:rPr>
          <w:rFonts w:ascii="Aptos" w:hAnsi="Aptos" w:cs="Tahoma"/>
          <w:szCs w:val="24"/>
        </w:rPr>
        <w:t xml:space="preserve">rema </w:t>
      </w:r>
      <w:r w:rsidR="00A27A37" w:rsidRPr="005627E2">
        <w:rPr>
          <w:rFonts w:ascii="Aptos" w:hAnsi="Aptos" w:cs="Tahoma"/>
          <w:szCs w:val="24"/>
        </w:rPr>
        <w:t>Pravilnika o načinu i postupku zapošljavanja u Tehničkoj školi za strojarstvo i mehatroniku, Split (KLASA: 003-05/19-01/03; URBROJ: 2181-25-19-01-1, od 02. svibnja 2019. god.) te Izmjenama i dopunama pravilnika o načinu i postupku zapošljavanja u Tehničkoj školi za strojarstvo i mehatroniku, Split (KLASA: 003-05-20-01/01; URBROJ: 2181-25-20-01 od 20. veljače 2020. god.)</w:t>
      </w:r>
    </w:p>
    <w:p w14:paraId="7AD2C423" w14:textId="77777777" w:rsidR="00A27A37" w:rsidRDefault="00A27A37" w:rsidP="00075E6B">
      <w:pPr>
        <w:spacing w:after="0" w:line="240" w:lineRule="auto"/>
        <w:ind w:left="0" w:firstLine="0"/>
        <w:jc w:val="both"/>
        <w:rPr>
          <w:rFonts w:ascii="Aptos" w:hAnsi="Aptos" w:cs="Tahoma"/>
          <w:szCs w:val="24"/>
        </w:rPr>
      </w:pPr>
    </w:p>
    <w:p w14:paraId="70F8A9DE" w14:textId="0B847A02" w:rsidR="00A27A37" w:rsidRPr="005627E2" w:rsidRDefault="00A27A37" w:rsidP="00075E6B">
      <w:pPr>
        <w:spacing w:after="0" w:line="240" w:lineRule="auto"/>
        <w:ind w:left="0" w:firstLine="0"/>
        <w:jc w:val="both"/>
        <w:rPr>
          <w:rFonts w:ascii="Aptos" w:hAnsi="Aptos" w:cs="Tahoma"/>
          <w:szCs w:val="24"/>
        </w:rPr>
      </w:pPr>
      <w:r w:rsidRPr="005627E2">
        <w:rPr>
          <w:rFonts w:ascii="Aptos" w:hAnsi="Aptos"/>
          <w:szCs w:val="24"/>
        </w:rPr>
        <w:lastRenderedPageBreak/>
        <w:t>Povjerenstvo za vrednovanje kandidata prijavljenih na natječaj (u nastavku: Povjerenstvo) imenuje ravnatelj</w:t>
      </w:r>
      <w:r>
        <w:rPr>
          <w:rFonts w:ascii="Aptos" w:hAnsi="Aptos"/>
          <w:szCs w:val="24"/>
        </w:rPr>
        <w:t>ica</w:t>
      </w:r>
      <w:r w:rsidRPr="005627E2">
        <w:rPr>
          <w:rFonts w:ascii="Aptos" w:hAnsi="Aptos"/>
          <w:szCs w:val="24"/>
        </w:rPr>
        <w:t xml:space="preserve"> škole. Povjerenstvo utvrđuje listu kandidata prijavljenih na natječaj (svi kandidati koji ispunjavaju formalne uvjete natječaja). Kandidati s liste Povjerenstva </w:t>
      </w:r>
      <w:r>
        <w:rPr>
          <w:rFonts w:ascii="Aptos" w:hAnsi="Aptos"/>
          <w:szCs w:val="24"/>
        </w:rPr>
        <w:t xml:space="preserve">dužni su pristupiti </w:t>
      </w:r>
      <w:r w:rsidR="009F614F">
        <w:rPr>
          <w:rFonts w:ascii="Aptos" w:hAnsi="Aptos"/>
          <w:szCs w:val="24"/>
        </w:rPr>
        <w:t xml:space="preserve">razgovoru </w:t>
      </w:r>
      <w:r>
        <w:rPr>
          <w:rFonts w:ascii="Aptos" w:hAnsi="Aptos"/>
          <w:szCs w:val="24"/>
        </w:rPr>
        <w:t>odnosno testiranju</w:t>
      </w:r>
      <w:r w:rsidR="009F614F">
        <w:rPr>
          <w:rFonts w:ascii="Aptos" w:hAnsi="Aptos"/>
          <w:szCs w:val="24"/>
        </w:rPr>
        <w:t xml:space="preserve"> znanja, sposobnosti i vještina </w:t>
      </w:r>
      <w:r>
        <w:rPr>
          <w:rFonts w:ascii="Aptos" w:hAnsi="Aptos"/>
          <w:szCs w:val="24"/>
        </w:rPr>
        <w:t xml:space="preserve"> sukladno čl. 1</w:t>
      </w:r>
      <w:r w:rsidR="004B0555">
        <w:rPr>
          <w:rFonts w:ascii="Aptos" w:hAnsi="Aptos"/>
          <w:szCs w:val="24"/>
        </w:rPr>
        <w:t>7</w:t>
      </w:r>
      <w:r>
        <w:rPr>
          <w:rFonts w:ascii="Aptos" w:hAnsi="Aptos"/>
          <w:szCs w:val="24"/>
        </w:rPr>
        <w:t xml:space="preserve">. </w:t>
      </w:r>
      <w:r w:rsidR="009F614F">
        <w:rPr>
          <w:rFonts w:ascii="Aptos" w:hAnsi="Aptos"/>
          <w:szCs w:val="24"/>
        </w:rPr>
        <w:t>P</w:t>
      </w:r>
      <w:r>
        <w:rPr>
          <w:rFonts w:ascii="Aptos" w:hAnsi="Aptos"/>
          <w:szCs w:val="24"/>
        </w:rPr>
        <w:t xml:space="preserve">ravilnika o načinu i postupku zapošljavanja </w:t>
      </w:r>
      <w:r w:rsidR="009F614F">
        <w:rPr>
          <w:rFonts w:ascii="Aptos" w:hAnsi="Aptos"/>
          <w:szCs w:val="24"/>
        </w:rPr>
        <w:t xml:space="preserve">u Tehničkoj školi za strojarstvo i mehatroniku, Split </w:t>
      </w:r>
      <w:r>
        <w:rPr>
          <w:rFonts w:ascii="Aptos" w:hAnsi="Aptos"/>
          <w:szCs w:val="24"/>
        </w:rPr>
        <w:t xml:space="preserve"> o zapošljavanju ukoliko ne pristupe </w:t>
      </w:r>
      <w:r w:rsidR="009F614F">
        <w:rPr>
          <w:rFonts w:ascii="Aptos" w:hAnsi="Aptos"/>
          <w:szCs w:val="24"/>
        </w:rPr>
        <w:t xml:space="preserve">razgovoru odnosno </w:t>
      </w:r>
      <w:r>
        <w:rPr>
          <w:rFonts w:ascii="Aptos" w:hAnsi="Aptos"/>
          <w:szCs w:val="24"/>
        </w:rPr>
        <w:t>provjeri znanja</w:t>
      </w:r>
      <w:r w:rsidR="009F614F">
        <w:rPr>
          <w:rFonts w:ascii="Aptos" w:hAnsi="Aptos"/>
          <w:szCs w:val="24"/>
        </w:rPr>
        <w:t xml:space="preserve">, sposobnosti i vještina </w:t>
      </w:r>
      <w:r w:rsidRPr="005627E2">
        <w:rPr>
          <w:rFonts w:ascii="Aptos" w:hAnsi="Aptos"/>
          <w:szCs w:val="24"/>
        </w:rPr>
        <w:t>smatra</w:t>
      </w:r>
      <w:r w:rsidR="009F614F">
        <w:rPr>
          <w:rFonts w:ascii="Aptos" w:hAnsi="Aptos"/>
          <w:szCs w:val="24"/>
        </w:rPr>
        <w:t>t će se</w:t>
      </w:r>
      <w:r w:rsidRPr="005627E2">
        <w:rPr>
          <w:rFonts w:ascii="Aptos" w:hAnsi="Aptos"/>
          <w:szCs w:val="24"/>
        </w:rPr>
        <w:t xml:space="preserve"> da je povukao svoju prijavu na natječaj. </w:t>
      </w:r>
    </w:p>
    <w:p w14:paraId="60E4DC14" w14:textId="4B00E715" w:rsidR="005627E2" w:rsidRPr="005627E2" w:rsidRDefault="005627E2" w:rsidP="00825B9D">
      <w:pPr>
        <w:pStyle w:val="StandardWeb"/>
        <w:jc w:val="both"/>
        <w:rPr>
          <w:rFonts w:ascii="Aptos" w:hAnsi="Aptos"/>
        </w:rPr>
      </w:pPr>
      <w:r w:rsidRPr="005627E2">
        <w:rPr>
          <w:rFonts w:ascii="Aptos" w:hAnsi="Aptos"/>
        </w:rPr>
        <w:t xml:space="preserve">Način, mjesto i vrijeme održavanja </w:t>
      </w:r>
      <w:r w:rsidR="009F614F">
        <w:rPr>
          <w:rFonts w:ascii="Aptos" w:hAnsi="Aptos"/>
        </w:rPr>
        <w:t xml:space="preserve">provjere, znanja, sposobnosti i vještina </w:t>
      </w:r>
      <w:r w:rsidRPr="005627E2">
        <w:rPr>
          <w:rFonts w:ascii="Aptos" w:hAnsi="Aptos"/>
        </w:rPr>
        <w:t xml:space="preserve"> te popis kandidata objavit će se na mrežnoj stranici Tehničke škole za strojarstvo i mehatroniku, Split, pod rubrikom „natječaji“,  </w:t>
      </w:r>
      <w:hyperlink r:id="rId11" w:history="1">
        <w:r w:rsidRPr="005627E2">
          <w:rPr>
            <w:rStyle w:val="Hiperveza"/>
            <w:rFonts w:ascii="Aptos" w:hAnsi="Aptos"/>
          </w:rPr>
          <w:t>http://ss-tehnicka-st.skole.hr/natjecaji</w:t>
        </w:r>
      </w:hyperlink>
      <w:r w:rsidRPr="005627E2">
        <w:rPr>
          <w:rFonts w:ascii="Aptos" w:hAnsi="Aptos"/>
        </w:rPr>
        <w:t xml:space="preserve"> .</w:t>
      </w:r>
    </w:p>
    <w:p w14:paraId="3860E514" w14:textId="10168737" w:rsidR="00075E6B" w:rsidRDefault="005627E2" w:rsidP="00825B9D">
      <w:pPr>
        <w:pStyle w:val="StandardWeb"/>
        <w:jc w:val="both"/>
        <w:rPr>
          <w:rFonts w:ascii="Aptos" w:hAnsi="Aptos"/>
        </w:rPr>
      </w:pPr>
      <w:r w:rsidRPr="005627E2">
        <w:rPr>
          <w:rFonts w:ascii="Aptos" w:hAnsi="Aptos"/>
        </w:rPr>
        <w:t>Rok za podnošenje prijava je 8 dana od dana objave natječaj</w:t>
      </w:r>
      <w:r w:rsidR="00656367">
        <w:rPr>
          <w:rFonts w:ascii="Aptos" w:hAnsi="Aptos"/>
        </w:rPr>
        <w:t>a na mrežnoj stranici Tehničke škole za strojarstvo i mehatroniku, Split te mrežnoj stranici Hrvatskog zavoda za zapošljavanje</w:t>
      </w:r>
      <w:r w:rsidR="00825B9D">
        <w:rPr>
          <w:rFonts w:ascii="Aptos" w:hAnsi="Aptos"/>
        </w:rPr>
        <w:t>.</w:t>
      </w:r>
      <w:r w:rsidR="00075E6B">
        <w:rPr>
          <w:rFonts w:ascii="Aptos" w:hAnsi="Aptos"/>
        </w:rPr>
        <w:t xml:space="preserve"> </w:t>
      </w:r>
    </w:p>
    <w:p w14:paraId="0D16C0EF" w14:textId="0FECBD46" w:rsidR="00075E6B" w:rsidRDefault="00075E6B" w:rsidP="00825B9D">
      <w:pPr>
        <w:pStyle w:val="StandardWeb"/>
        <w:jc w:val="both"/>
        <w:rPr>
          <w:rFonts w:ascii="Aptos" w:hAnsi="Aptos"/>
        </w:rPr>
      </w:pPr>
      <w:r>
        <w:rPr>
          <w:rFonts w:ascii="Aptos" w:hAnsi="Aptos"/>
        </w:rPr>
        <w:t xml:space="preserve">Prijave s potrebnom dokumentacijom o ispunjavanju uvjeta iz natječaja dostavljaju se neposredno na protokol škole ili poštom na adresu: Tehnička škola za strojarstvo i mehatroniku, Split, Zrinsko-Frankopanska 23, 21000 Split, u zatvorenoj omotnici s naznakom: „za natječaj“  - naziv radnog mjesta za koje se kandidat prijavljuje. </w:t>
      </w:r>
    </w:p>
    <w:p w14:paraId="5F7099B5" w14:textId="65DC3D0E" w:rsidR="00825B9D" w:rsidRPr="005627E2" w:rsidRDefault="00825B9D" w:rsidP="00825B9D">
      <w:pPr>
        <w:pStyle w:val="StandardWeb"/>
        <w:jc w:val="both"/>
        <w:rPr>
          <w:rFonts w:ascii="Aptos" w:hAnsi="Aptos"/>
        </w:rPr>
      </w:pPr>
      <w:r>
        <w:rPr>
          <w:rFonts w:ascii="Aptos" w:hAnsi="Aptos"/>
        </w:rPr>
        <w:t xml:space="preserve">Prijave s nepotpunom i neodgovarajućom dokumentacijom kao i nepravovremeno dostavljene prijave neće se razmatrati. Povjerenstvo će u pravilu elektronskom poštom, obavijestiti osobu da nije podnijela pravodobnu ili potpunu prijavu ili ne ispunjava uvjete iz natječaja i da ne sudjeluje u daljnjem postupku za izbor kandidata. </w:t>
      </w:r>
    </w:p>
    <w:p w14:paraId="4065C173" w14:textId="3F1999A0" w:rsidR="005627E2" w:rsidRPr="005627E2" w:rsidRDefault="005627E2" w:rsidP="00825B9D">
      <w:pPr>
        <w:pStyle w:val="StandardWeb"/>
        <w:jc w:val="both"/>
        <w:rPr>
          <w:rFonts w:ascii="Aptos" w:hAnsi="Aptos"/>
        </w:rPr>
      </w:pPr>
      <w:r w:rsidRPr="005627E2">
        <w:rPr>
          <w:rFonts w:ascii="Aptos" w:hAnsi="Aptos"/>
        </w:rPr>
        <w:t xml:space="preserve">Podnošenjem </w:t>
      </w:r>
      <w:r w:rsidR="00825B9D">
        <w:rPr>
          <w:rFonts w:ascii="Aptos" w:hAnsi="Aptos"/>
        </w:rPr>
        <w:t>prijave</w:t>
      </w:r>
      <w:r w:rsidRPr="005627E2">
        <w:rPr>
          <w:rFonts w:ascii="Aptos" w:hAnsi="Aptos"/>
        </w:rPr>
        <w:t xml:space="preserve"> na natječaj kandidati su suglasni Tehnička škola za strojarstvo i mehatroniku, Split kao voditelj zbirke osobnih podataka može prikupljati, koristiti i dalje obrađivati podatke u svrhu provedbe natječajnog postupka sukladno Uredbi (EU) 2016/279 odredbama Zakona o provedbi Opće uredbe o zaštiti podataka (NN 42/18). </w:t>
      </w:r>
    </w:p>
    <w:p w14:paraId="1ABB3B03" w14:textId="1DD9628F" w:rsidR="005627E2" w:rsidRDefault="005627E2" w:rsidP="00075E6B">
      <w:pPr>
        <w:pStyle w:val="StandardWeb"/>
        <w:rPr>
          <w:rFonts w:ascii="Aptos" w:hAnsi="Aptos"/>
        </w:rPr>
      </w:pPr>
      <w:r w:rsidRPr="005627E2">
        <w:rPr>
          <w:rFonts w:ascii="Aptos" w:hAnsi="Aptos"/>
        </w:rPr>
        <w:t xml:space="preserve">O rezultatima natječaja kandidati će biti obaviješteni na mrežnoj stranici škole u rubrici </w:t>
      </w:r>
      <w:r w:rsidR="009F614F">
        <w:rPr>
          <w:rFonts w:ascii="Aptos" w:hAnsi="Aptos"/>
        </w:rPr>
        <w:t>„natječaji“</w:t>
      </w:r>
      <w:r w:rsidR="00075E6B">
        <w:rPr>
          <w:rFonts w:ascii="Aptos" w:hAnsi="Aptos"/>
        </w:rPr>
        <w:t xml:space="preserve"> </w:t>
      </w:r>
      <w:r w:rsidR="00075E6B" w:rsidRPr="00075E6B">
        <w:t xml:space="preserve"> </w:t>
      </w:r>
      <w:r w:rsidR="00075E6B" w:rsidRPr="00075E6B">
        <w:rPr>
          <w:rFonts w:ascii="Aptos" w:hAnsi="Aptos"/>
        </w:rPr>
        <w:t>https://ss-tehnicka-st.skole.hr/natjecaji/</w:t>
      </w:r>
      <w:r w:rsidR="009F614F">
        <w:rPr>
          <w:rFonts w:ascii="Aptos" w:hAnsi="Aptos"/>
        </w:rPr>
        <w:t xml:space="preserve"> </w:t>
      </w:r>
      <w:r w:rsidR="00075E6B">
        <w:rPr>
          <w:rFonts w:ascii="Aptos" w:hAnsi="Aptos"/>
        </w:rPr>
        <w:t xml:space="preserve"> </w:t>
      </w:r>
      <w:r w:rsidR="009F614F">
        <w:rPr>
          <w:rFonts w:ascii="Aptos" w:hAnsi="Aptos"/>
        </w:rPr>
        <w:t xml:space="preserve">u roku od najkasnije  petnaest dana od dana sklapanja ugovora o radu s </w:t>
      </w:r>
      <w:r w:rsidR="00075E6B">
        <w:rPr>
          <w:rFonts w:ascii="Aptos" w:hAnsi="Aptos"/>
        </w:rPr>
        <w:t>odabirnim</w:t>
      </w:r>
      <w:r w:rsidR="009F614F">
        <w:rPr>
          <w:rFonts w:ascii="Aptos" w:hAnsi="Aptos"/>
        </w:rPr>
        <w:t xml:space="preserve"> kandidatom. U slučaju sudjelovanja kandidata s pravom prednosti pri zapošljavanju, Škola sve kandidate o rezultatima natječaja obavještava pisanom poštanskom pošiljkom, pri čemu se kandidat koji se poziva na pravo prednosti pri zapošljavanju prema posebnom zakonu obavještava pisanom preporučenom pošiljkom</w:t>
      </w:r>
      <w:r w:rsidR="00075E6B">
        <w:rPr>
          <w:rFonts w:ascii="Aptos" w:hAnsi="Aptos"/>
        </w:rPr>
        <w:t xml:space="preserve"> </w:t>
      </w:r>
      <w:r w:rsidR="009F614F">
        <w:rPr>
          <w:rFonts w:ascii="Aptos" w:hAnsi="Aptos"/>
        </w:rPr>
        <w:t xml:space="preserve"> s povratnicom. </w:t>
      </w:r>
      <w:r w:rsidRPr="005627E2">
        <w:rPr>
          <w:rFonts w:ascii="Aptos" w:hAnsi="Aptos"/>
        </w:rPr>
        <w:br/>
      </w:r>
    </w:p>
    <w:p w14:paraId="64DE47B4" w14:textId="77777777" w:rsidR="00075E6B" w:rsidRPr="00075E6B" w:rsidRDefault="00075E6B" w:rsidP="00075E6B">
      <w:pPr>
        <w:pStyle w:val="StandardWeb"/>
        <w:spacing w:before="0" w:beforeAutospacing="0" w:after="0" w:afterAutospacing="0"/>
        <w:rPr>
          <w:rFonts w:ascii="Aptos" w:hAnsi="Aptos"/>
          <w:b/>
          <w:bCs/>
        </w:rPr>
      </w:pPr>
      <w:r w:rsidRPr="00075E6B">
        <w:rPr>
          <w:rFonts w:ascii="Aptos" w:hAnsi="Aptos"/>
          <w:b/>
          <w:bCs/>
        </w:rPr>
        <w:t>Ravnateljica:</w:t>
      </w:r>
    </w:p>
    <w:p w14:paraId="6E656AF9" w14:textId="25E59F64" w:rsidR="005627E2" w:rsidRPr="00075E6B" w:rsidRDefault="00075E6B" w:rsidP="00075E6B">
      <w:pPr>
        <w:pStyle w:val="StandardWeb"/>
        <w:spacing w:before="0" w:beforeAutospacing="0" w:after="0" w:afterAutospacing="0"/>
        <w:rPr>
          <w:rFonts w:ascii="Aptos" w:hAnsi="Aptos"/>
          <w:b/>
          <w:bCs/>
        </w:rPr>
      </w:pPr>
      <w:r w:rsidRPr="00075E6B">
        <w:rPr>
          <w:rFonts w:ascii="Aptos" w:hAnsi="Aptos"/>
          <w:b/>
          <w:bCs/>
        </w:rPr>
        <w:t xml:space="preserve">Sandra Alunić, dipl. ing. </w:t>
      </w:r>
    </w:p>
    <w:p w14:paraId="71716EC7" w14:textId="77777777" w:rsidR="00C13472" w:rsidRDefault="00C13472"/>
    <w:sectPr w:rsidR="00C1347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B52E" w14:textId="77777777" w:rsidR="00FA30AC" w:rsidRDefault="00FA30AC" w:rsidP="00075E6B">
      <w:pPr>
        <w:spacing w:after="0" w:line="240" w:lineRule="auto"/>
      </w:pPr>
      <w:r>
        <w:separator/>
      </w:r>
    </w:p>
  </w:endnote>
  <w:endnote w:type="continuationSeparator" w:id="0">
    <w:p w14:paraId="6BA56706" w14:textId="77777777" w:rsidR="00FA30AC" w:rsidRDefault="00FA30AC" w:rsidP="00075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Humanst521 BT">
    <w:altName w:val="Times New Roman"/>
    <w:charset w:val="38"/>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523792"/>
      <w:docPartObj>
        <w:docPartGallery w:val="Page Numbers (Bottom of Page)"/>
        <w:docPartUnique/>
      </w:docPartObj>
    </w:sdtPr>
    <w:sdtContent>
      <w:p w14:paraId="013BD85B" w14:textId="62C2096E" w:rsidR="00075E6B" w:rsidRDefault="00075E6B">
        <w:pPr>
          <w:pStyle w:val="Podnoje"/>
          <w:jc w:val="right"/>
        </w:pPr>
        <w:r>
          <w:fldChar w:fldCharType="begin"/>
        </w:r>
        <w:r>
          <w:instrText>PAGE   \* MERGEFORMAT</w:instrText>
        </w:r>
        <w:r>
          <w:fldChar w:fldCharType="separate"/>
        </w:r>
        <w:r>
          <w:t>2</w:t>
        </w:r>
        <w:r>
          <w:fldChar w:fldCharType="end"/>
        </w:r>
      </w:p>
    </w:sdtContent>
  </w:sdt>
  <w:p w14:paraId="06C2CB1D" w14:textId="77777777" w:rsidR="00075E6B" w:rsidRDefault="00075E6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BFD5" w14:textId="77777777" w:rsidR="00FA30AC" w:rsidRDefault="00FA30AC" w:rsidP="00075E6B">
      <w:pPr>
        <w:spacing w:after="0" w:line="240" w:lineRule="auto"/>
      </w:pPr>
      <w:r>
        <w:separator/>
      </w:r>
    </w:p>
  </w:footnote>
  <w:footnote w:type="continuationSeparator" w:id="0">
    <w:p w14:paraId="286C3CA7" w14:textId="77777777" w:rsidR="00FA30AC" w:rsidRDefault="00FA30AC" w:rsidP="00075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A63"/>
    <w:multiLevelType w:val="hybridMultilevel"/>
    <w:tmpl w:val="2CB45F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B7E20BE"/>
    <w:multiLevelType w:val="hybridMultilevel"/>
    <w:tmpl w:val="B546D0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23C45FA"/>
    <w:multiLevelType w:val="hybridMultilevel"/>
    <w:tmpl w:val="F1803E30"/>
    <w:lvl w:ilvl="0" w:tplc="8F66A7B2">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4187DBE"/>
    <w:multiLevelType w:val="hybridMultilevel"/>
    <w:tmpl w:val="B48E3F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1846B4E"/>
    <w:multiLevelType w:val="hybridMultilevel"/>
    <w:tmpl w:val="7764A372"/>
    <w:lvl w:ilvl="0" w:tplc="252C6A46">
      <w:start w:val="1"/>
      <w:numFmt w:val="bullet"/>
      <w:lvlText w:val="-"/>
      <w:lvlJc w:val="left"/>
      <w:pPr>
        <w:ind w:left="720" w:hanging="360"/>
      </w:pPr>
      <w:rPr>
        <w:rFonts w:ascii="Aptos" w:eastAsia="Times New Roman"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8102998"/>
    <w:multiLevelType w:val="hybridMultilevel"/>
    <w:tmpl w:val="4012587A"/>
    <w:lvl w:ilvl="0" w:tplc="4D5AE852">
      <w:start w:val="1"/>
      <w:numFmt w:val="bullet"/>
      <w:lvlText w:val="-"/>
      <w:lvlJc w:val="left"/>
      <w:pPr>
        <w:ind w:left="720" w:hanging="360"/>
      </w:pPr>
      <w:rPr>
        <w:rFonts w:ascii="Aptos" w:eastAsia="Times New Roman"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2CD1B53"/>
    <w:multiLevelType w:val="hybridMultilevel"/>
    <w:tmpl w:val="3CE22C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94F29EA"/>
    <w:multiLevelType w:val="hybridMultilevel"/>
    <w:tmpl w:val="00D67FD4"/>
    <w:lvl w:ilvl="0" w:tplc="BFAA6FA8">
      <w:start w:val="1"/>
      <w:numFmt w:val="bullet"/>
      <w:lvlText w:val="-"/>
      <w:lvlJc w:val="left"/>
      <w:pPr>
        <w:ind w:left="720" w:hanging="360"/>
      </w:pPr>
      <w:rPr>
        <w:rFonts w:ascii="Aptos" w:eastAsia="Times New Roman"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00742633">
    <w:abstractNumId w:val="2"/>
  </w:num>
  <w:num w:numId="2" w16cid:durableId="241067659">
    <w:abstractNumId w:val="0"/>
  </w:num>
  <w:num w:numId="3" w16cid:durableId="1995134755">
    <w:abstractNumId w:val="1"/>
  </w:num>
  <w:num w:numId="4" w16cid:durableId="491988221">
    <w:abstractNumId w:val="2"/>
  </w:num>
  <w:num w:numId="5" w16cid:durableId="1165779609">
    <w:abstractNumId w:val="3"/>
  </w:num>
  <w:num w:numId="6" w16cid:durableId="1862931921">
    <w:abstractNumId w:val="6"/>
  </w:num>
  <w:num w:numId="7" w16cid:durableId="856162472">
    <w:abstractNumId w:val="7"/>
  </w:num>
  <w:num w:numId="8" w16cid:durableId="501824179">
    <w:abstractNumId w:val="5"/>
  </w:num>
  <w:num w:numId="9" w16cid:durableId="1041630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B4"/>
    <w:rsid w:val="00075E6B"/>
    <w:rsid w:val="000A116C"/>
    <w:rsid w:val="000A6078"/>
    <w:rsid w:val="001270DA"/>
    <w:rsid w:val="001775BA"/>
    <w:rsid w:val="0021060F"/>
    <w:rsid w:val="002A4A8A"/>
    <w:rsid w:val="002C6895"/>
    <w:rsid w:val="002E6E3D"/>
    <w:rsid w:val="003733B4"/>
    <w:rsid w:val="00392D37"/>
    <w:rsid w:val="003B07FE"/>
    <w:rsid w:val="0040568B"/>
    <w:rsid w:val="004577C6"/>
    <w:rsid w:val="004B0555"/>
    <w:rsid w:val="004E4925"/>
    <w:rsid w:val="005627E2"/>
    <w:rsid w:val="00594340"/>
    <w:rsid w:val="00656367"/>
    <w:rsid w:val="00770896"/>
    <w:rsid w:val="00825B9D"/>
    <w:rsid w:val="00871B53"/>
    <w:rsid w:val="009B5EA5"/>
    <w:rsid w:val="009F614F"/>
    <w:rsid w:val="00A27A37"/>
    <w:rsid w:val="00A64D9A"/>
    <w:rsid w:val="00B26C6C"/>
    <w:rsid w:val="00B459CA"/>
    <w:rsid w:val="00BE5187"/>
    <w:rsid w:val="00BF266D"/>
    <w:rsid w:val="00C13472"/>
    <w:rsid w:val="00C26E4D"/>
    <w:rsid w:val="00E930DE"/>
    <w:rsid w:val="00EC3356"/>
    <w:rsid w:val="00EF0AAC"/>
    <w:rsid w:val="00F100AA"/>
    <w:rsid w:val="00F659CB"/>
    <w:rsid w:val="00FA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B9E2"/>
  <w15:chartTrackingRefBased/>
  <w15:docId w15:val="{92E1A41D-2A91-47D4-BFF5-5F1902FB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3B4"/>
    <w:pPr>
      <w:spacing w:after="211" w:line="268" w:lineRule="auto"/>
      <w:ind w:left="10" w:hanging="10"/>
    </w:pPr>
    <w:rPr>
      <w:rFonts w:ascii="Calibri" w:eastAsia="Calibri" w:hAnsi="Calibri" w:cs="Calibri"/>
      <w:color w:val="000000"/>
      <w:kern w:val="0"/>
      <w:sz w:val="24"/>
      <w:lang w:val="hr-HR"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733B4"/>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5627E2"/>
    <w:pPr>
      <w:spacing w:after="0" w:line="240" w:lineRule="auto"/>
      <w:ind w:left="0" w:firstLine="0"/>
    </w:pPr>
    <w:rPr>
      <w:rFonts w:ascii="Humanst521 BT" w:eastAsia="Times New Roman" w:hAnsi="Humanst521 BT" w:cs="Times New Roman"/>
      <w:snapToGrid w:val="0"/>
      <w:spacing w:val="20"/>
      <w:sz w:val="20"/>
      <w:szCs w:val="20"/>
      <w:lang w:val="en-US" w:eastAsia="en-US"/>
    </w:rPr>
  </w:style>
  <w:style w:type="character" w:customStyle="1" w:styleId="TijelotekstaChar">
    <w:name w:val="Tijelo teksta Char"/>
    <w:basedOn w:val="Zadanifontodlomka"/>
    <w:link w:val="Tijeloteksta"/>
    <w:rsid w:val="005627E2"/>
    <w:rPr>
      <w:rFonts w:ascii="Humanst521 BT" w:eastAsia="Times New Roman" w:hAnsi="Humanst521 BT" w:cs="Times New Roman"/>
      <w:snapToGrid w:val="0"/>
      <w:color w:val="000000"/>
      <w:spacing w:val="20"/>
      <w:kern w:val="0"/>
      <w:sz w:val="20"/>
      <w:szCs w:val="20"/>
      <w14:ligatures w14:val="none"/>
    </w:rPr>
  </w:style>
  <w:style w:type="character" w:styleId="Hiperveza">
    <w:name w:val="Hyperlink"/>
    <w:rsid w:val="005627E2"/>
    <w:rPr>
      <w:color w:val="0000FF"/>
      <w:u w:val="single"/>
    </w:rPr>
  </w:style>
  <w:style w:type="paragraph" w:styleId="StandardWeb">
    <w:name w:val="Normal (Web)"/>
    <w:basedOn w:val="Normal"/>
    <w:uiPriority w:val="99"/>
    <w:rsid w:val="005627E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Naglaeno">
    <w:name w:val="Strong"/>
    <w:uiPriority w:val="22"/>
    <w:qFormat/>
    <w:rsid w:val="005627E2"/>
    <w:rPr>
      <w:b/>
      <w:bCs/>
    </w:rPr>
  </w:style>
  <w:style w:type="paragraph" w:styleId="Odlomakpopisa">
    <w:name w:val="List Paragraph"/>
    <w:basedOn w:val="Normal"/>
    <w:uiPriority w:val="34"/>
    <w:qFormat/>
    <w:rsid w:val="005627E2"/>
    <w:pPr>
      <w:ind w:left="720"/>
      <w:contextualSpacing/>
    </w:pPr>
  </w:style>
  <w:style w:type="paragraph" w:styleId="Zaglavlje">
    <w:name w:val="header"/>
    <w:basedOn w:val="Normal"/>
    <w:link w:val="ZaglavljeChar"/>
    <w:uiPriority w:val="99"/>
    <w:unhideWhenUsed/>
    <w:rsid w:val="00075E6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75E6B"/>
    <w:rPr>
      <w:rFonts w:ascii="Calibri" w:eastAsia="Calibri" w:hAnsi="Calibri" w:cs="Calibri"/>
      <w:color w:val="000000"/>
      <w:kern w:val="0"/>
      <w:sz w:val="24"/>
      <w:lang w:val="hr-HR" w:eastAsia="hr-HR"/>
      <w14:ligatures w14:val="none"/>
    </w:rPr>
  </w:style>
  <w:style w:type="paragraph" w:styleId="Podnoje">
    <w:name w:val="footer"/>
    <w:basedOn w:val="Normal"/>
    <w:link w:val="PodnojeChar"/>
    <w:uiPriority w:val="99"/>
    <w:unhideWhenUsed/>
    <w:rsid w:val="00075E6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75E6B"/>
    <w:rPr>
      <w:rFonts w:ascii="Calibri" w:eastAsia="Calibri" w:hAnsi="Calibri" w:cs="Calibri"/>
      <w:color w:val="000000"/>
      <w:kern w:val="0"/>
      <w:sz w:val="24"/>
      <w:lang w:val="hr-HR"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gov.hr/istaknute-teme/odgoj-i-obrazovanje/priznavanje-inozemnih-obrazovnih-i-strucnih-kvalifikacija/27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ehnicka-st.skole.hr/natjecaji" TargetMode="External"/><Relationship Id="rId5" Type="http://schemas.openxmlformats.org/officeDocument/2006/relationships/footnotes" Target="footnote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OHBDR%20202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1778</Words>
  <Characters>10137</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Tuđa</dc:creator>
  <cp:keywords/>
  <dc:description/>
  <cp:lastModifiedBy>Katarina Vodička Mihić</cp:lastModifiedBy>
  <cp:revision>3</cp:revision>
  <dcterms:created xsi:type="dcterms:W3CDTF">2026-03-17T12:27:00Z</dcterms:created>
  <dcterms:modified xsi:type="dcterms:W3CDTF">2026-03-17T13:38:00Z</dcterms:modified>
</cp:coreProperties>
</file>